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4F" w:rsidRDefault="00993C5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94F" w:rsidRDefault="00EE194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43EB" w:rsidRDefault="00B943E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943EB" w:rsidRDefault="00B943E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993C5C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ОКРУГ-ЮГРА</w:t>
      </w:r>
    </w:p>
    <w:p w:rsidR="00EE194F" w:rsidRDefault="00993C5C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EE194F" w:rsidRDefault="00993C5C">
      <w:pPr>
        <w:pStyle w:val="2"/>
      </w:pPr>
      <w:r>
        <w:t>СЕЛЬСКОЕ ПОСЕЛЕНИЕ</w:t>
      </w:r>
      <w:r>
        <w:t xml:space="preserve"> </w:t>
      </w:r>
      <w:r>
        <w:t>СОРУМ</w:t>
      </w:r>
    </w:p>
    <w:p w:rsidR="00EE194F" w:rsidRDefault="00EE19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94F" w:rsidRDefault="00EE19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94F" w:rsidRDefault="00993C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E194F" w:rsidRDefault="00EE19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94F" w:rsidRDefault="00EE19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94F" w:rsidRDefault="00993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993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943E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3EB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943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</w:t>
      </w:r>
      <w:r w:rsidR="00B943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B943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№ </w:t>
      </w:r>
      <w:r w:rsidR="00B943EB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EE194F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99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</w:p>
    <w:p w:rsidR="00EE194F" w:rsidRDefault="00EE1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EE1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3EB" w:rsidRDefault="00B94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993C5C">
      <w:pPr>
        <w:widowControl w:val="0"/>
        <w:ind w:firstLine="53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13.1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Федерального закона от 08.11.2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007 № 259-ФЗ «Устав автомобильного транспорта и городского наземного электрического транспорта», Федеральным законом от 31.07.2020 № 248-ФЗ </w:t>
      </w:r>
      <w:r w:rsidRPr="008E0F9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Совет депутатов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оселения Сорум </w:t>
      </w:r>
      <w:proofErr w:type="gramStart"/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е ш и л :</w:t>
      </w:r>
    </w:p>
    <w:p w:rsidR="00EE194F" w:rsidRPr="008E0F90" w:rsidRDefault="00993C5C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Pr="008E0F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94F" w:rsidRPr="008E0F90" w:rsidRDefault="00993C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2. Опубликовать настоящее решение в бюллетене</w:t>
      </w:r>
      <w:r w:rsidRPr="008E0F9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«Официальный вестник сельс</w:t>
      </w:r>
      <w:r w:rsidRPr="008E0F9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кого поселения Сорум».</w:t>
      </w:r>
    </w:p>
    <w:p w:rsidR="00EE194F" w:rsidRDefault="00993C5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опубликования, но не ранее 1 января 2022 года.</w:t>
      </w: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Pr="008E0F90" w:rsidRDefault="00B94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93C5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993C5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93C5C" w:rsidRPr="008E0F90">
        <w:rPr>
          <w:rFonts w:ascii="Times New Roman" w:eastAsia="Times New Roman" w:hAnsi="Times New Roman"/>
          <w:sz w:val="24"/>
          <w:szCs w:val="24"/>
          <w:lang w:eastAsia="ru-RU"/>
        </w:rPr>
        <w:t xml:space="preserve"> Сорум</w:t>
      </w:r>
      <w:r w:rsidR="00993C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993C5C" w:rsidRPr="008E0F9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93C5C" w:rsidRPr="008E0F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Маковей</w:t>
      </w:r>
      <w:proofErr w:type="spellEnd"/>
    </w:p>
    <w:p w:rsidR="00EE194F" w:rsidRPr="008E0F90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Pr="008E0F90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Pr="008E0F90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3EB" w:rsidRDefault="00B94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3EB" w:rsidRDefault="00B94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3EB" w:rsidRPr="008E0F90" w:rsidRDefault="00B94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Pr="008E0F90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4F" w:rsidRDefault="00993C5C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E194F" w:rsidRDefault="00EE194F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194F" w:rsidRDefault="00993C5C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943EB">
        <w:rPr>
          <w:rFonts w:ascii="Times New Roman" w:hAnsi="Times New Roman"/>
          <w:sz w:val="24"/>
          <w:szCs w:val="24"/>
        </w:rPr>
        <w:t>11 ноября 2021 г. № 41</w:t>
      </w:r>
    </w:p>
    <w:p w:rsidR="00EE194F" w:rsidRDefault="00EE194F">
      <w:pPr>
        <w:spacing w:after="1" w:line="22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194F" w:rsidRDefault="00EE194F">
      <w:pPr>
        <w:spacing w:after="1" w:line="22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43EB" w:rsidRDefault="00B943EB">
      <w:pPr>
        <w:spacing w:after="1" w:line="22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194F" w:rsidRDefault="00993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EE194F" w:rsidRDefault="00993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</w:p>
    <w:p w:rsidR="00EE194F" w:rsidRDefault="00EE19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943EB" w:rsidRDefault="00B943E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E194F" w:rsidRDefault="00993C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Общие </w:t>
      </w:r>
      <w:r>
        <w:rPr>
          <w:rFonts w:ascii="Times New Roman" w:hAnsi="Times New Roman" w:cs="Times New Roman"/>
          <w:sz w:val="24"/>
          <w:szCs w:val="24"/>
        </w:rPr>
        <w:t>положения</w:t>
      </w:r>
    </w:p>
    <w:p w:rsidR="00EE194F" w:rsidRDefault="00EE1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 муниципальном контроле на автомобильном транспорте, городском наземном электрическом транспорте и в дорожном хозяйстве (далее Положение) устанавливает порядок осуществления муниципального контроля на автомобильном трансп</w:t>
      </w:r>
      <w:r>
        <w:rPr>
          <w:rFonts w:ascii="Times New Roman" w:hAnsi="Times New Roman" w:cs="Times New Roman"/>
          <w:sz w:val="24"/>
          <w:szCs w:val="24"/>
        </w:rPr>
        <w:t>орте, городском наземном электрическом транспорте и в дорожном хозяйстве (далее – муниципальный контроль).</w:t>
      </w:r>
    </w:p>
    <w:p w:rsidR="00EE194F" w:rsidRDefault="00993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муниципального контроля является соблюдение обязательных требований:</w:t>
      </w:r>
    </w:p>
    <w:p w:rsidR="00EE194F" w:rsidRDefault="00993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области автомобильных дорог и дорожной деятельности, установ</w:t>
      </w:r>
      <w:r>
        <w:rPr>
          <w:rFonts w:ascii="Times New Roman" w:hAnsi="Times New Roman" w:cs="Times New Roman"/>
          <w:sz w:val="24"/>
          <w:szCs w:val="24"/>
        </w:rPr>
        <w:t>ленных в отношении автомобильных дорог местного значения:</w:t>
      </w:r>
    </w:p>
    <w:p w:rsidR="00EE194F" w:rsidRDefault="00993C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E194F" w:rsidRDefault="00993C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осуществлению работ по капитальному ремонту, ремонту</w:t>
      </w:r>
      <w:r>
        <w:rPr>
          <w:rFonts w:ascii="Times New Roman" w:hAnsi="Times New Roman" w:cs="Times New Roman"/>
          <w:sz w:val="24"/>
          <w:szCs w:val="24"/>
        </w:rPr>
        <w:t xml:space="preserve"> и содержанию автомобильных дорог общего пользования и искусственных дорожных сооружений на них в части обеспечения сохранности автомобильных дорог.</w:t>
      </w:r>
    </w:p>
    <w:p w:rsidR="00EE194F" w:rsidRDefault="00993C5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контроль в соответствии с настоящим Положением осуществляется администрацией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алее – контрольный орган);</w:t>
      </w:r>
    </w:p>
    <w:p w:rsidR="00EE194F" w:rsidRDefault="00993C5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имени контрольного органа муниципальный контроль вправе осуществлять следующие должностные лица: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руководитель, заместитель руководителя контрольного органа;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должностные лица контрольного органа, в </w:t>
      </w:r>
      <w:r>
        <w:rPr>
          <w:rFonts w:ascii="Times New Roman" w:hAnsi="Times New Roman"/>
          <w:sz w:val="24"/>
          <w:szCs w:val="24"/>
        </w:rPr>
        <w:t>должностные обязанности которых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</w:t>
      </w:r>
      <w:r>
        <w:rPr>
          <w:rFonts w:ascii="Times New Roman" w:hAnsi="Times New Roman"/>
          <w:sz w:val="24"/>
          <w:szCs w:val="24"/>
        </w:rPr>
        <w:t>р).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Инспекторы, уполномоченные на проведение конкретного профилактического мероприятия или контрольного мероприятия, определяются решением контрольного органа о проведении профилактического мероприятия или контрольного мероприятия.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Инспекторы, </w:t>
      </w:r>
      <w:r>
        <w:rPr>
          <w:rFonts w:ascii="Times New Roman" w:hAnsi="Times New Roman"/>
          <w:sz w:val="24"/>
          <w:szCs w:val="24"/>
        </w:rPr>
        <w:t>осуществляющие муниципальный контроль, при проведении контрольного мероприятия в пределах своих полномочий и в объеме проводимых контрольных действий пользуются правами и выполняют обязанности, установленными, статьей 29 Федерального закона от 31 июля 2020</w:t>
      </w:r>
      <w:r>
        <w:rPr>
          <w:rFonts w:ascii="Times New Roman" w:hAnsi="Times New Roman"/>
          <w:sz w:val="24"/>
          <w:szCs w:val="24"/>
        </w:rPr>
        <w:t xml:space="preserve"> года № 248-ФЗ.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Объектами муниципального контроля являются: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</w:t>
      </w:r>
      <w:r>
        <w:rPr>
          <w:rFonts w:ascii="Times New Roman" w:hAnsi="Times New Roman"/>
          <w:sz w:val="24"/>
          <w:szCs w:val="24"/>
        </w:rPr>
        <w:t>ость, действия (бездействие);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здания, помещения, сооружения, линейные объекты, территории, оборудование, устройства, предметы, транспортные средства и другие объекты, которыми контролируемые лица владеют и (или) пользуются и к которым предъявляются обяза</w:t>
      </w:r>
      <w:r>
        <w:rPr>
          <w:rFonts w:ascii="Times New Roman" w:hAnsi="Times New Roman"/>
          <w:sz w:val="24"/>
          <w:szCs w:val="24"/>
        </w:rPr>
        <w:t>тельные требования (далее - производственные объекты).</w:t>
      </w:r>
      <w:proofErr w:type="gramEnd"/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виде. 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 контролируемыми лицами при осущес</w:t>
      </w:r>
      <w:r>
        <w:rPr>
          <w:rFonts w:ascii="Times New Roman" w:hAnsi="Times New Roman"/>
          <w:sz w:val="24"/>
          <w:szCs w:val="24"/>
        </w:rPr>
        <w:t>твлении муниципального контроля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 отно</w:t>
      </w:r>
      <w:r>
        <w:rPr>
          <w:rFonts w:ascii="Times New Roman" w:hAnsi="Times New Roman"/>
          <w:sz w:val="24"/>
          <w:szCs w:val="24"/>
        </w:rPr>
        <w:t>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N 248-ФЗ.</w:t>
      </w:r>
    </w:p>
    <w:p w:rsidR="00B943EB" w:rsidRDefault="00B943EB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94F" w:rsidRDefault="00993C5C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Критерии отнесения объектов контроля к категориям риска при</w:t>
      </w:r>
      <w:r>
        <w:rPr>
          <w:rFonts w:ascii="Times New Roman" w:hAnsi="Times New Roman"/>
          <w:b/>
          <w:sz w:val="24"/>
          <w:szCs w:val="24"/>
        </w:rPr>
        <w:t>чинения вреда (ущерба) в рамках осуществления муниципального контроля</w:t>
      </w:r>
    </w:p>
    <w:p w:rsidR="00EE194F" w:rsidRDefault="00EE194F">
      <w:pPr>
        <w:pStyle w:val="ConsPlusNormal"/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осуществлении муниципального контроля система оценки и управления рисками не применяется.</w:t>
      </w:r>
    </w:p>
    <w:p w:rsidR="00EE194F" w:rsidRDefault="00EE194F">
      <w:pPr>
        <w:pStyle w:val="ConsPlusTitle"/>
        <w:contextualSpacing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943EB" w:rsidRDefault="00B943E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Title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Перечень профилактических мероприятий в рамках осуществления</w:t>
      </w:r>
    </w:p>
    <w:p w:rsidR="00EE194F" w:rsidRDefault="00993C5C">
      <w:pPr>
        <w:pStyle w:val="ConsPlusTitle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</w:p>
    <w:p w:rsidR="00EE194F" w:rsidRDefault="00EE194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 248-ФЗ, положением, федеральным законом о виде контроля.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проводятся следующие виды профилактических мероприятий: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предостережения;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профилактический визит.</w:t>
      </w:r>
    </w:p>
    <w:p w:rsidR="00EE194F" w:rsidRDefault="00993C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Информирование осуществляется контрольным органом посредством размещения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етствующих сведений предусмотренных частью 3 статьи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46 Федерального закона № 248-ФЗ на официальном сайте контрольного органа в сети «Интернет», в средствах массовой информации, через личные кабинеты контролируемых лиц в государственн</w:t>
      </w:r>
      <w:r>
        <w:rPr>
          <w:rFonts w:ascii="Times New Roman" w:hAnsi="Times New Roman" w:cs="Times New Roman"/>
          <w:sz w:val="24"/>
          <w:szCs w:val="24"/>
        </w:rPr>
        <w:t>ых информационных системах (при их наличии) и иных формах.</w:t>
      </w:r>
    </w:p>
    <w:p w:rsidR="00EE194F" w:rsidRDefault="00993C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сведений поддерживаются в актуальном состоянии и обновляются в срок не позднее 5 рабочих дней с момента их изменения.</w:t>
      </w:r>
    </w:p>
    <w:p w:rsidR="00EE194F" w:rsidRDefault="00993C5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Предостережение о недопустимости нарушения обязательных требован</w:t>
      </w:r>
      <w:r>
        <w:rPr>
          <w:rFonts w:ascii="Times New Roman" w:hAnsi="Times New Roman" w:cs="Times New Roman"/>
          <w:sz w:val="24"/>
          <w:szCs w:val="24"/>
        </w:rPr>
        <w:t>ий объявляется и направляется контролируемому лицу в порядке, предусмотренном статей 49 Федерального закона N 248-ФЗ.</w:t>
      </w:r>
    </w:p>
    <w:p w:rsidR="00EE194F" w:rsidRDefault="00993C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</w:t>
      </w:r>
      <w:r>
        <w:rPr>
          <w:rFonts w:ascii="Times New Roman" w:hAnsi="Times New Roman" w:cs="Times New Roman"/>
          <w:sz w:val="24"/>
          <w:szCs w:val="24"/>
        </w:rPr>
        <w:t>одать в контролирующий орган возражение в отношении указанного предостережения.</w:t>
      </w:r>
    </w:p>
    <w:p w:rsidR="00EE194F" w:rsidRDefault="00993C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</w:t>
      </w:r>
      <w:r>
        <w:rPr>
          <w:rFonts w:ascii="Times New Roman" w:hAnsi="Times New Roman" w:cs="Times New Roman"/>
          <w:sz w:val="24"/>
          <w:szCs w:val="24"/>
        </w:rPr>
        <w:t>страции такого возражения.</w:t>
      </w:r>
    </w:p>
    <w:p w:rsidR="00EE194F" w:rsidRDefault="00993C5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Консультирование по обращениям контролируемых лиц и их представителей осуществляется в следующем порядке: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- посредством телефонной связи, электронной почты или видео-конференц-связи;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получении пис</w:t>
      </w:r>
      <w:r>
        <w:rPr>
          <w:rFonts w:ascii="Times New Roman" w:hAnsi="Times New Roman" w:cs="Times New Roman"/>
          <w:sz w:val="24"/>
          <w:szCs w:val="24"/>
        </w:rPr>
        <w:t xml:space="preserve">ьменного запроса - посредством ответа в письменной форме в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Федеральным законом от 2 мая 2006 года № 59-ФЗ «О порядке рассмотрения обращения граждан Российской Федерации»;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проведения профилактического мероприятия, контрольног</w:t>
      </w:r>
      <w:r>
        <w:rPr>
          <w:rFonts w:ascii="Times New Roman" w:hAnsi="Times New Roman" w:cs="Times New Roman"/>
          <w:sz w:val="24"/>
          <w:szCs w:val="24"/>
        </w:rPr>
        <w:t>о мероприятия.</w:t>
      </w:r>
    </w:p>
    <w:p w:rsidR="00EE194F" w:rsidRDefault="00993C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муниципального контроля;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осуществления контрольных мероприятий;</w:t>
      </w:r>
    </w:p>
    <w:p w:rsidR="00EE194F" w:rsidRDefault="00993C5C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обязательных требований.</w:t>
      </w:r>
    </w:p>
    <w:p w:rsidR="00EE194F" w:rsidRDefault="00993C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консультирования при личном обраще</w:t>
      </w:r>
      <w:r>
        <w:rPr>
          <w:rFonts w:ascii="Times New Roman" w:hAnsi="Times New Roman" w:cs="Times New Roman"/>
          <w:sz w:val="24"/>
          <w:szCs w:val="24"/>
        </w:rPr>
        <w:t>нии должно составлять не менее 3 часов в рабочую неделю.</w:t>
      </w:r>
    </w:p>
    <w:p w:rsidR="00EE194F" w:rsidRDefault="00993C5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</w:t>
      </w:r>
      <w:r>
        <w:rPr>
          <w:rFonts w:ascii="Times New Roman" w:hAnsi="Times New Roman" w:cs="Times New Roman"/>
          <w:sz w:val="24"/>
          <w:szCs w:val="24"/>
        </w:rPr>
        <w:t>ном обращении предоставить ответ на поставленные вопросы не представляется невозможным;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на поставленные вопросы требует получения дополнительных сведений и информации.</w:t>
      </w:r>
    </w:p>
    <w:p w:rsidR="00EE194F" w:rsidRDefault="00993C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консультирование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уполномоченным должностным лицом контрольного органа согласно пункту 4 настоящего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EE194F" w:rsidRDefault="00993C5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</w:t>
      </w:r>
      <w:r>
        <w:rPr>
          <w:rFonts w:ascii="Times New Roman" w:hAnsi="Times New Roman" w:cs="Times New Roman"/>
          <w:sz w:val="24"/>
          <w:szCs w:val="24"/>
        </w:rPr>
        <w:t xml:space="preserve">емое лицо информируется об обязательных требованиях, предъявляемых к его деятельности либо к принадлежащим ему объектам контроля, </w:t>
      </w:r>
      <w:r>
        <w:rPr>
          <w:rFonts w:ascii="Times New Roman" w:hAnsi="Times New Roman"/>
          <w:sz w:val="24"/>
          <w:szCs w:val="24"/>
        </w:rPr>
        <w:t xml:space="preserve">видах, содержании и об </w:t>
      </w:r>
      <w:r>
        <w:rPr>
          <w:rFonts w:ascii="Times New Roman" w:hAnsi="Times New Roman" w:cs="Times New Roman"/>
          <w:sz w:val="24"/>
          <w:szCs w:val="24"/>
        </w:rPr>
        <w:t>интенсивности контрольных мероприятий, проводимых в отношении объекта контроля.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r>
        <w:rPr>
          <w:rFonts w:ascii="Times New Roman" w:hAnsi="Times New Roman"/>
          <w:sz w:val="24"/>
          <w:szCs w:val="24"/>
          <w:lang w:eastAsia="ru-RU"/>
        </w:rPr>
        <w:t>профилактического визита инспектором может осуществляться консультирование контролируемого лица в порядке, установленном пунктом 14 настоящего Положения.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</w:t>
      </w:r>
      <w:r>
        <w:rPr>
          <w:rFonts w:ascii="Times New Roman" w:hAnsi="Times New Roman"/>
          <w:sz w:val="24"/>
          <w:szCs w:val="24"/>
          <w:lang w:eastAsia="ru-RU"/>
        </w:rPr>
        <w:t>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три рабочих дня до даты его проведения.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и сроки пр</w:t>
      </w:r>
      <w:r>
        <w:rPr>
          <w:rFonts w:ascii="Times New Roman" w:hAnsi="Times New Roman"/>
          <w:sz w:val="24"/>
          <w:szCs w:val="24"/>
          <w:lang w:eastAsia="ru-RU"/>
        </w:rPr>
        <w:t>оведения обязательного профилактического визита устанавливаются настоящим Положением.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</w:t>
      </w:r>
      <w:r>
        <w:rPr>
          <w:rFonts w:ascii="Times New Roman" w:hAnsi="Times New Roman"/>
          <w:sz w:val="24"/>
          <w:szCs w:val="24"/>
          <w:lang w:eastAsia="ru-RU"/>
        </w:rPr>
        <w:t>онтролируемым лицом в ходе профилактического визита, носят рекомендательный характер.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</w:t>
      </w:r>
      <w:r>
        <w:rPr>
          <w:rFonts w:ascii="Times New Roman" w:hAnsi="Times New Roman"/>
          <w:sz w:val="24"/>
          <w:szCs w:val="24"/>
          <w:lang w:eastAsia="ru-RU"/>
        </w:rPr>
        <w:t>аконом ценностям или такой вред (ущерб) причинен,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мероприятий.</w:t>
      </w:r>
    </w:p>
    <w:p w:rsidR="00EE194F" w:rsidRDefault="0099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(обязательного) профи</w:t>
      </w:r>
      <w:r>
        <w:rPr>
          <w:rFonts w:ascii="Times New Roman" w:hAnsi="Times New Roman"/>
          <w:sz w:val="24"/>
          <w:szCs w:val="24"/>
        </w:rPr>
        <w:t>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EE194F" w:rsidRDefault="00EE1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3EB" w:rsidRDefault="00B9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3EB" w:rsidRDefault="00B9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3EB" w:rsidRDefault="00B9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Виды контрольных мероприятий в рамках осуществления муниципального контроля и перечень допустимы</w:t>
      </w:r>
      <w:r>
        <w:rPr>
          <w:rFonts w:ascii="Times New Roman" w:hAnsi="Times New Roman"/>
          <w:sz w:val="24"/>
          <w:szCs w:val="24"/>
        </w:rPr>
        <w:t>х контрольных действий в составе каждого контрольного мероприятия</w:t>
      </w:r>
    </w:p>
    <w:p w:rsidR="00EE194F" w:rsidRDefault="00EE1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соответствии с пунктом 2 статьи 61 Федерального закон N 248-ФЗ и пунктом 10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плановые контрольные мероприятия не проводятся.</w:t>
      </w:r>
    </w:p>
    <w:p w:rsidR="00EE194F" w:rsidRDefault="00993C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>При осуществлении муни</w:t>
      </w:r>
      <w:r>
        <w:rPr>
          <w:rFonts w:ascii="Times New Roman" w:hAnsi="Times New Roman"/>
          <w:sz w:val="24"/>
          <w:szCs w:val="24"/>
        </w:rPr>
        <w:t>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</w:t>
      </w:r>
      <w:r>
        <w:rPr>
          <w:rFonts w:ascii="Times New Roman" w:hAnsi="Times New Roman"/>
          <w:sz w:val="24"/>
          <w:szCs w:val="24"/>
        </w:rPr>
        <w:t>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EE194F" w:rsidRDefault="00993C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Взаимодействие с контролируемым лицом осуществляется п</w:t>
      </w:r>
      <w:r>
        <w:rPr>
          <w:rFonts w:ascii="Times New Roman" w:hAnsi="Times New Roman"/>
          <w:sz w:val="24"/>
          <w:szCs w:val="24"/>
        </w:rPr>
        <w:t>ри проведении следующих контрольных мероприятий: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инспекционный визит;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рейдового осмотра;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выездной проверки.</w:t>
      </w:r>
    </w:p>
    <w:p w:rsidR="00EE194F" w:rsidRDefault="00993C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 xml:space="preserve">Без взаимодействия с контролируемым лицом проводятся следующие контрольные мероприятия (далее – контрольные мероприятия без </w:t>
      </w:r>
      <w:r>
        <w:rPr>
          <w:rFonts w:ascii="Times New Roman" w:hAnsi="Times New Roman"/>
          <w:sz w:val="24"/>
          <w:szCs w:val="24"/>
        </w:rPr>
        <w:t>взаимодействия):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соблюдением обязательных требований;</w:t>
      </w:r>
    </w:p>
    <w:p w:rsidR="00EE194F" w:rsidRDefault="00993C5C">
      <w:pPr>
        <w:pStyle w:val="ConsPlusNormal"/>
        <w:spacing w:before="22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выездное обследование.</w:t>
      </w:r>
    </w:p>
    <w:p w:rsidR="00EE194F" w:rsidRDefault="00993C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>Оценка соблюдения контролируемыми лицами обязательных требований контрольными органами не может проводиться иными способами, кроме как посредством контрольны</w:t>
      </w:r>
      <w:r>
        <w:rPr>
          <w:rFonts w:ascii="Times New Roman" w:hAnsi="Times New Roman"/>
          <w:sz w:val="24"/>
          <w:szCs w:val="24"/>
        </w:rPr>
        <w:t>х мероприятий, контрольных мероприятий без взаимодействия, указанных в пункте 20 настоящего Положения.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 ходе инспекционного визита могут совершаться следующие контрольные действия: осмотр, опрос, получение письменных объяснений, инструментальное обсле</w:t>
      </w:r>
      <w:r>
        <w:rPr>
          <w:rFonts w:ascii="Times New Roman" w:hAnsi="Times New Roman"/>
          <w:sz w:val="24"/>
          <w:szCs w:val="24"/>
        </w:rPr>
        <w:t>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</w:t>
      </w:r>
      <w:r>
        <w:rPr>
          <w:rFonts w:ascii="Times New Roman" w:hAnsi="Times New Roman"/>
          <w:sz w:val="24"/>
          <w:szCs w:val="24"/>
        </w:rPr>
        <w:t>та контроля.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 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Рейдовый осмотр проводится в отношении любого числа контролируемых лиц, </w:t>
      </w:r>
      <w:r>
        <w:rPr>
          <w:rFonts w:ascii="Times New Roman" w:hAnsi="Times New Roman"/>
          <w:sz w:val="24"/>
          <w:szCs w:val="24"/>
        </w:rPr>
        <w:t>осуществляющих владение, пользование или управление производственным объектом контроля.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рейдового осмотра могут совершаться следующие контрольные действия: осмотр, опрос, получение письменных объяснений, истребование документов, инструментальное обс</w:t>
      </w:r>
      <w:r>
        <w:rPr>
          <w:rFonts w:ascii="Times New Roman" w:hAnsi="Times New Roman"/>
          <w:sz w:val="24"/>
          <w:szCs w:val="24"/>
        </w:rPr>
        <w:t xml:space="preserve">ледование, экспертиза. 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результате рейдового осмотра были выявлены нарушения обязательных требований, инспектор на месте составляет акт контрольного мероприятия в отношении каждого контролируемого лица, допустившего нарушение обязательных </w:t>
      </w:r>
      <w:r>
        <w:rPr>
          <w:rFonts w:ascii="Times New Roman" w:hAnsi="Times New Roman"/>
          <w:sz w:val="24"/>
          <w:szCs w:val="24"/>
        </w:rPr>
        <w:t xml:space="preserve">требований. 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рейдового осмотра не может превышать 1 рабочий день. 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Выездная проверка проводится в отношении конкретного конт</w:t>
      </w:r>
      <w:r>
        <w:rPr>
          <w:rFonts w:ascii="Times New Roman" w:hAnsi="Times New Roman"/>
          <w:sz w:val="24"/>
          <w:szCs w:val="24"/>
        </w:rPr>
        <w:t xml:space="preserve">ролируемого лица, владеющего и (или) использующего объект контроля на территории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sz w:val="24"/>
          <w:szCs w:val="24"/>
        </w:rPr>
        <w:t xml:space="preserve">, по месту нахождения объектов контроля или контролируемого лица в целях </w:t>
      </w:r>
      <w:r>
        <w:rPr>
          <w:rFonts w:ascii="Times New Roman" w:hAnsi="Times New Roman"/>
          <w:sz w:val="24"/>
          <w:szCs w:val="24"/>
        </w:rPr>
        <w:lastRenderedPageBreak/>
        <w:t>оценки соблюдения таким лицом обязательных требований, а также оценки выполне</w:t>
      </w:r>
      <w:r>
        <w:rPr>
          <w:rFonts w:ascii="Times New Roman" w:hAnsi="Times New Roman"/>
          <w:sz w:val="24"/>
          <w:szCs w:val="24"/>
        </w:rPr>
        <w:t>ния решений контрольного органа в порядке, установленном статьей 73 Федерального закона № 248-ФЗ.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EE194F" w:rsidRDefault="00993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удостовериться в полноте и достоверности сведений, которые содержатся в находящихся</w:t>
      </w:r>
      <w:r>
        <w:rPr>
          <w:rFonts w:ascii="Times New Roman" w:hAnsi="Times New Roman"/>
          <w:sz w:val="24"/>
          <w:szCs w:val="24"/>
        </w:rPr>
        <w:t xml:space="preserve"> в распоряжении контрольного органа или в запрашиваемых им документах и объяснениях контролируемого лица;</w:t>
      </w:r>
    </w:p>
    <w:p w:rsidR="00EE194F" w:rsidRDefault="00993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соответствие деятельности, действий (бездействия) контролируемого лица и (или) принадлежащих ему и (или) используемых им объектов контроля о</w:t>
      </w:r>
      <w:r>
        <w:rPr>
          <w:rFonts w:ascii="Times New Roman" w:hAnsi="Times New Roman"/>
          <w:sz w:val="24"/>
          <w:szCs w:val="24"/>
        </w:rPr>
        <w:t>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</w:t>
      </w:r>
      <w:r>
        <w:rPr>
          <w:rFonts w:ascii="Times New Roman" w:hAnsi="Times New Roman"/>
          <w:sz w:val="24"/>
          <w:szCs w:val="24"/>
        </w:rPr>
        <w:t>ренных в рамках иного вида контрольных мероприятий.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выездной проверки могут совершаться следующие контрольные действия: осмотр, досмотр, опрос, получение письменных объяснений, истребование документов, инструментальное обследование, экспертиза.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</w:t>
      </w:r>
      <w:r>
        <w:rPr>
          <w:rFonts w:ascii="Times New Roman" w:hAnsi="Times New Roman"/>
          <w:sz w:val="24"/>
          <w:szCs w:val="24"/>
        </w:rPr>
        <w:t xml:space="preserve">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24 часа до ее начала в порядке, предусмотренном статьей 21 Федерального закона № 248-ФЗ.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выездной п</w:t>
      </w:r>
      <w:r>
        <w:rPr>
          <w:rFonts w:ascii="Times New Roman" w:hAnsi="Times New Roman"/>
          <w:sz w:val="24"/>
          <w:szCs w:val="24"/>
        </w:rPr>
        <w:t xml:space="preserve">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</w:rPr>
        <w:t>. Срок провед</w:t>
      </w:r>
      <w:r>
        <w:rPr>
          <w:rFonts w:ascii="Times New Roman" w:hAnsi="Times New Roman"/>
          <w:sz w:val="24"/>
          <w:szCs w:val="24"/>
        </w:rPr>
        <w:t xml:space="preserve">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</w:t>
      </w:r>
      <w:r>
        <w:rPr>
          <w:rFonts w:ascii="Times New Roman" w:hAnsi="Times New Roman"/>
          <w:sz w:val="24"/>
          <w:szCs w:val="24"/>
        </w:rPr>
        <w:t>или производственному объекту.</w:t>
      </w:r>
    </w:p>
    <w:p w:rsidR="00EE194F" w:rsidRDefault="00993C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При проведении инспекционного визита, рейдового осмотра, в случаях, установленных Правительством Российской Федерации, инспектором применяются проверочные листы (списки контрольных вопросов, ответы на которые свидетельств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уют о соблюдении или несоблюдении контролируемым лицом обязательных требований законодательства), которые утверждаются муниципальным правовым актом администрации сельского поселения Сорум в соответствии с требованиями, установленными Правительством Российс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Федерации.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26. Внеплановые контрольные мероприятия (инспекционный визит, рейдовый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осмотр, выездная проверка) проводятся только после согласования с органами прокуратуры, в соответствии с требованиями статьи 66 Федерального закона № 248-ФЗ.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день подписания решения о проведении внепланового контрольного мероприятия в целях согласования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проведения контрольный орган направляет,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его проведения.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устранению приступает к проведению внепланового контрольного мероприятия незамедлительно (в течение 24 часов после получения соответствующих сведений) с извещением об этом органа прокуратуры по месту нахождения объекта контроля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посредством направления в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же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документов, которые содержат сведения, послужившие основанием для проведения контрольного мероприятия.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Случаи, при наступлении которых индивидуальный предприниматель, гражданин, являющиеся контролируемыми лицами, вправе представить в контрол</w:t>
      </w:r>
      <w:r>
        <w:rPr>
          <w:rFonts w:ascii="Times New Roman" w:hAnsi="Times New Roman"/>
          <w:sz w:val="24"/>
          <w:szCs w:val="24"/>
        </w:rPr>
        <w:t xml:space="preserve">ьный орган информацию о невозможности присутствия при проведении контрольного мероприятия: </w:t>
      </w:r>
    </w:p>
    <w:p w:rsidR="00EE194F" w:rsidRDefault="00993C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болезнь контролируемого лица;</w:t>
      </w:r>
    </w:p>
    <w:p w:rsidR="00EE194F" w:rsidRDefault="00993C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длительная командировка или иной вынужденный отъе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др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угой регион (пределы Российской Федерации);</w:t>
      </w:r>
    </w:p>
    <w:p w:rsidR="00EE194F" w:rsidRDefault="00993C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избрание в отношении контрол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ируемого лица, привлекаемого к уголовной (административной) ответственности, меры пресечения ограничивающей свободу и изоляцию от общества, а также лишение по приговору суда прав и свободы;</w:t>
      </w:r>
    </w:p>
    <w:p w:rsidR="00EE194F" w:rsidRDefault="00993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признание </w:t>
      </w:r>
      <w:proofErr w:type="gramStart"/>
      <w:r>
        <w:rPr>
          <w:rFonts w:ascii="Times New Roman" w:hAnsi="Times New Roman"/>
          <w:sz w:val="24"/>
          <w:szCs w:val="24"/>
        </w:rPr>
        <w:t>недееспособным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ограниченно дееспособным по решению</w:t>
      </w:r>
      <w:r>
        <w:rPr>
          <w:rFonts w:ascii="Times New Roman" w:hAnsi="Times New Roman"/>
          <w:sz w:val="24"/>
          <w:szCs w:val="24"/>
        </w:rPr>
        <w:t xml:space="preserve"> суда. 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случаях отсутствия контролируемого лица или его представителя, либо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</w:t>
      </w:r>
      <w:r>
        <w:rPr>
          <w:rFonts w:ascii="Times New Roman" w:hAnsi="Times New Roman"/>
          <w:sz w:val="24"/>
          <w:szCs w:val="24"/>
        </w:rPr>
        <w:t>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EE194F" w:rsidRDefault="00993C5C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фиксации инспе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ктором контрольного органа и лицами, привлекаемыми к совершению контрольных действий, доказательств нарушения обязательных требований могут использоваться фотосъемка, видеозапись, измерительные инструменты и (или) технические приборы, специальное оборудова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и иные способы фиксации доказательств.</w:t>
      </w:r>
    </w:p>
    <w:p w:rsidR="00EE194F" w:rsidRDefault="00993C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Фотографии, видеозаписи, должны позволять однозначно идентифицировать объект фиксации, отражающий нарушение обязательных требований, дату и время фиксации объекта.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Измерительные инструменты и (или) технические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боры, специальное оборудование, используемые при проведении контрольных действий должны иметь действующий сертификат соответствия и (или) свидетельство о проверке, подтверждающие их соответствие установленным требованиям, применяемым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измерительным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ментами и (или) технические приборы, специальное оборудование.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видеозаписи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используемые в качестве доказательств нарушений обязательных требований, результаты измерительных инструментов и (или) технических приборов, оборудования, прикладываются</w:t>
      </w:r>
      <w:r>
        <w:rPr>
          <w:rFonts w:ascii="Times New Roman" w:hAnsi="Times New Roman" w:cs="Times New Roman"/>
          <w:sz w:val="24"/>
          <w:szCs w:val="24"/>
        </w:rPr>
        <w:t xml:space="preserve"> к акту контрольного мероприятия.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Порядок фотосъемки, видеозаписи и иных способов фиксации доказательств: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документах, оформляемых инспектором и лицами, привлекаемыми к совершению контрольных действий, указывается: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используемых </w:t>
      </w:r>
      <w:r>
        <w:rPr>
          <w:rFonts w:ascii="Times New Roman" w:hAnsi="Times New Roman"/>
          <w:sz w:val="24"/>
          <w:szCs w:val="24"/>
        </w:rPr>
        <w:t>электронных устройств (технических средств);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место, дата и время применения электронных устройств (технических средств);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применения электронных устройств (технических средств).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решение об использовании фотосъемки, видеозаписи </w:t>
      </w:r>
      <w:r>
        <w:rPr>
          <w:rFonts w:ascii="Times New Roman" w:hAnsi="Times New Roman" w:cs="Times New Roman"/>
          <w:sz w:val="24"/>
          <w:szCs w:val="24"/>
        </w:rPr>
        <w:t>и иных способов фи</w:t>
      </w:r>
      <w:r>
        <w:rPr>
          <w:rFonts w:ascii="Times New Roman" w:hAnsi="Times New Roman" w:cs="Times New Roman"/>
          <w:sz w:val="24"/>
          <w:szCs w:val="24"/>
        </w:rPr>
        <w:t>ксации доказатель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/>
          <w:sz w:val="24"/>
          <w:szCs w:val="24"/>
        </w:rPr>
        <w:t>инимается инспектором и лицами, привлекаемыми к совершению контрольных действий, самостоятельно.</w:t>
      </w:r>
    </w:p>
    <w:p w:rsidR="00EE194F" w:rsidRDefault="00993C5C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результаты использования фотосъемки, видеозаписи, </w:t>
      </w:r>
      <w:r>
        <w:rPr>
          <w:rFonts w:ascii="Times New Roman" w:hAnsi="Times New Roman" w:cs="Times New Roman"/>
          <w:sz w:val="24"/>
          <w:szCs w:val="24"/>
        </w:rPr>
        <w:t>и иных способов фиксации доказатель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/>
          <w:sz w:val="24"/>
          <w:szCs w:val="24"/>
        </w:rPr>
        <w:t>илагаются к документам, оформляемым инспек</w:t>
      </w:r>
      <w:r>
        <w:rPr>
          <w:rFonts w:ascii="Times New Roman" w:hAnsi="Times New Roman"/>
          <w:sz w:val="24"/>
          <w:szCs w:val="24"/>
        </w:rPr>
        <w:t>тором и лицами, привлекаемыми к совершению контрольных действий.</w:t>
      </w:r>
    </w:p>
    <w:p w:rsidR="00EE194F" w:rsidRDefault="00EE194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Оформление результатов контрольного мероприятия</w:t>
      </w:r>
    </w:p>
    <w:p w:rsidR="00EE194F" w:rsidRDefault="00EE1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По окончании проведения контрольного мероприятия, предусматривающего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контролируемым лицом, составляется акт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EE194F" w:rsidRDefault="00993C5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иное не установлено Правительством Российской Федерации.</w:t>
      </w:r>
    </w:p>
    <w:p w:rsidR="00EE194F" w:rsidRDefault="00EE194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Досудебное о</w:t>
      </w:r>
      <w:r>
        <w:rPr>
          <w:rFonts w:ascii="Times New Roman" w:hAnsi="Times New Roman" w:cs="Times New Roman"/>
          <w:sz w:val="24"/>
          <w:szCs w:val="24"/>
        </w:rPr>
        <w:t>бжалование решений администрации, действий</w:t>
      </w:r>
    </w:p>
    <w:p w:rsidR="00EE194F" w:rsidRDefault="00993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(бездействия) ее должностных лиц</w:t>
      </w:r>
    </w:p>
    <w:p w:rsidR="00EE194F" w:rsidRDefault="00EE1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4F" w:rsidRDefault="00993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Досудебный порядок подачи жалоб при осуществлении муниципального контроля не применяется.</w:t>
      </w:r>
    </w:p>
    <w:p w:rsidR="00EE194F" w:rsidRDefault="00993C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E194F" w:rsidRDefault="00EE1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E194F" w:rsidRDefault="00EE194F">
      <w:pPr>
        <w:rPr>
          <w:rFonts w:ascii="Times New Roman" w:hAnsi="Times New Roman"/>
          <w:sz w:val="24"/>
          <w:szCs w:val="24"/>
        </w:rPr>
      </w:pPr>
    </w:p>
    <w:sectPr w:rsidR="00EE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5C" w:rsidRDefault="00993C5C">
      <w:pPr>
        <w:spacing w:line="240" w:lineRule="auto"/>
      </w:pPr>
      <w:r>
        <w:separator/>
      </w:r>
    </w:p>
  </w:endnote>
  <w:endnote w:type="continuationSeparator" w:id="0">
    <w:p w:rsidR="00993C5C" w:rsidRDefault="0099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5C" w:rsidRDefault="00993C5C">
      <w:pPr>
        <w:spacing w:after="0"/>
      </w:pPr>
      <w:r>
        <w:separator/>
      </w:r>
    </w:p>
  </w:footnote>
  <w:footnote w:type="continuationSeparator" w:id="0">
    <w:p w:rsidR="00993C5C" w:rsidRDefault="00993C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BD"/>
    <w:rsid w:val="000860A8"/>
    <w:rsid w:val="001C4C9F"/>
    <w:rsid w:val="003B4E66"/>
    <w:rsid w:val="006611F7"/>
    <w:rsid w:val="008E0F90"/>
    <w:rsid w:val="00993C5C"/>
    <w:rsid w:val="00B943EB"/>
    <w:rsid w:val="00D42D58"/>
    <w:rsid w:val="00E71DBD"/>
    <w:rsid w:val="00EE194F"/>
    <w:rsid w:val="6D0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Статейко Антон Владимирович</dc:creator>
  <cp:lastModifiedBy>1</cp:lastModifiedBy>
  <cp:revision>3</cp:revision>
  <cp:lastPrinted>2021-11-02T10:42:00Z</cp:lastPrinted>
  <dcterms:created xsi:type="dcterms:W3CDTF">2021-11-17T09:31:00Z</dcterms:created>
  <dcterms:modified xsi:type="dcterms:W3CDTF">2021-11-17T09:34:00Z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49A1C77F03EE49C3853C4B63AEB01443</vt:lpwstr>
  </property>
</Properties>
</file>